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7"/>
        <w:gridCol w:w="856"/>
        <w:gridCol w:w="3715"/>
      </w:tblGrid>
      <w:tr w:rsidR="00F925A1" w:rsidRPr="00F925A1" w14:paraId="721286B4" w14:textId="77777777" w:rsidTr="00B01056">
        <w:trPr>
          <w:trHeight w:val="579"/>
        </w:trPr>
        <w:tc>
          <w:tcPr>
            <w:tcW w:w="4457" w:type="dxa"/>
            <w:hideMark/>
          </w:tcPr>
          <w:p w14:paraId="223FBE65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r w:rsidRPr="00F925A1">
              <w:rPr>
                <w:b/>
                <w:bCs/>
              </w:rPr>
              <w:t xml:space="preserve">      </w:t>
            </w:r>
            <w:r w:rsidRPr="00F925A1">
              <w:rPr>
                <w:b/>
                <w:bCs/>
              </w:rPr>
              <w:br w:type="page"/>
            </w:r>
            <w:r w:rsidRPr="00F925A1">
              <w:rPr>
                <w:b/>
                <w:bCs/>
              </w:rPr>
              <w:drawing>
                <wp:inline distT="0" distB="0" distL="0" distR="0" wp14:anchorId="1D69E66D" wp14:editId="02B9A2EB">
                  <wp:extent cx="466725" cy="447675"/>
                  <wp:effectExtent l="0" t="0" r="9525" b="9525"/>
                  <wp:docPr id="206588268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" w:type="dxa"/>
          </w:tcPr>
          <w:p w14:paraId="0277E3AA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3715" w:type="dxa"/>
          </w:tcPr>
          <w:p w14:paraId="4C65A25C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  <w:u w:val="single"/>
              </w:rPr>
            </w:pPr>
          </w:p>
        </w:tc>
      </w:tr>
      <w:tr w:rsidR="00F925A1" w:rsidRPr="00F925A1" w14:paraId="1A9BEF8A" w14:textId="77777777" w:rsidTr="00B01056">
        <w:trPr>
          <w:trHeight w:val="619"/>
        </w:trPr>
        <w:tc>
          <w:tcPr>
            <w:tcW w:w="4457" w:type="dxa"/>
            <w:hideMark/>
          </w:tcPr>
          <w:p w14:paraId="4BC68BB8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r w:rsidRPr="00F925A1">
              <w:rPr>
                <w:b/>
                <w:bCs/>
              </w:rPr>
              <w:t xml:space="preserve">ΕΛΛΗΝΙΚΗ ΔΗΜΟΚΡΑΤΙΑ </w:t>
            </w:r>
          </w:p>
          <w:p w14:paraId="1AEAF414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r w:rsidRPr="00F925A1">
              <w:rPr>
                <w:b/>
                <w:bCs/>
              </w:rPr>
              <w:t>Π.Ε. ΜΑΓΝΗΣΙΑΣ ΚΑΙ ΣΠΟΡΑΔΩΝ</w:t>
            </w:r>
          </w:p>
          <w:p w14:paraId="42A25BC3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r w:rsidRPr="00F925A1">
              <w:rPr>
                <w:b/>
                <w:bCs/>
              </w:rPr>
              <w:t>ΔΗΜΟΣ ΑΛΜΥΡΟΥ</w:t>
            </w:r>
          </w:p>
        </w:tc>
        <w:tc>
          <w:tcPr>
            <w:tcW w:w="856" w:type="dxa"/>
          </w:tcPr>
          <w:p w14:paraId="69A72007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3715" w:type="dxa"/>
            <w:hideMark/>
          </w:tcPr>
          <w:p w14:paraId="4B84A4BA" w14:textId="20A90B24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r w:rsidRPr="00F925A1">
              <w:rPr>
                <w:b/>
                <w:bCs/>
                <w:lang w:val="en-US"/>
              </w:rPr>
              <w:t>A</w:t>
            </w:r>
            <w:r w:rsidRPr="00F925A1">
              <w:rPr>
                <w:b/>
                <w:bCs/>
              </w:rPr>
              <w:t xml:space="preserve">λμυρός    </w:t>
            </w:r>
            <w:r>
              <w:rPr>
                <w:b/>
                <w:bCs/>
              </w:rPr>
              <w:t>2</w:t>
            </w:r>
            <w:r w:rsidRPr="00F925A1">
              <w:rPr>
                <w:b/>
                <w:bCs/>
              </w:rPr>
              <w:t>7-07-2023</w:t>
            </w:r>
          </w:p>
          <w:p w14:paraId="3AB05AE6" w14:textId="464D4F96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</w:p>
        </w:tc>
      </w:tr>
      <w:tr w:rsidR="00F925A1" w:rsidRPr="00F925A1" w14:paraId="5ECF842D" w14:textId="77777777" w:rsidTr="00B01056">
        <w:trPr>
          <w:trHeight w:val="400"/>
        </w:trPr>
        <w:tc>
          <w:tcPr>
            <w:tcW w:w="4457" w:type="dxa"/>
            <w:vAlign w:val="center"/>
            <w:hideMark/>
          </w:tcPr>
          <w:p w14:paraId="6B414DA2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r w:rsidRPr="00F925A1">
              <w:rPr>
                <w:b/>
                <w:bCs/>
              </w:rPr>
              <w:t>ΓΡΑΦΕΙΟ ΔΗΜΑΡΧΟΥ</w:t>
            </w:r>
          </w:p>
        </w:tc>
        <w:tc>
          <w:tcPr>
            <w:tcW w:w="856" w:type="dxa"/>
            <w:hideMark/>
          </w:tcPr>
          <w:p w14:paraId="434C2B26" w14:textId="5B9D9071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r w:rsidRPr="00F925A1">
              <w:rPr>
                <w:b/>
                <w:bCs/>
              </w:rPr>
              <w:t>Π</w:t>
            </w:r>
          </w:p>
        </w:tc>
        <w:tc>
          <w:tcPr>
            <w:tcW w:w="3715" w:type="dxa"/>
            <w:hideMark/>
          </w:tcPr>
          <w:p w14:paraId="1414034E" w14:textId="1C2206FA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</w:p>
        </w:tc>
      </w:tr>
      <w:tr w:rsidR="00F925A1" w:rsidRPr="00F925A1" w14:paraId="7E7303E8" w14:textId="77777777" w:rsidTr="00B01056">
        <w:trPr>
          <w:trHeight w:val="2158"/>
        </w:trPr>
        <w:tc>
          <w:tcPr>
            <w:tcW w:w="4457" w:type="dxa"/>
            <w:hideMark/>
          </w:tcPr>
          <w:p w14:paraId="5A0E9F11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r w:rsidRPr="00F925A1">
              <w:rPr>
                <w:b/>
                <w:bCs/>
              </w:rPr>
              <w:t>Ταχ.Δ/νση: Βασιλέως Κων/νου 117, Αλμυρός</w:t>
            </w:r>
          </w:p>
          <w:p w14:paraId="7DF93E84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r w:rsidRPr="00F925A1">
              <w:rPr>
                <w:b/>
                <w:bCs/>
              </w:rPr>
              <w:t>Ταχ.Κωδ.  :   37100</w:t>
            </w:r>
          </w:p>
          <w:p w14:paraId="5DE04B02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r w:rsidRPr="00F925A1">
              <w:rPr>
                <w:b/>
                <w:bCs/>
              </w:rPr>
              <w:t>Πληροφορίες : Ανδρονίκη Κυριτσά</w:t>
            </w:r>
          </w:p>
          <w:p w14:paraId="00AA6BB7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  <w:r w:rsidRPr="00F925A1">
              <w:rPr>
                <w:b/>
                <w:bCs/>
              </w:rPr>
              <w:t>Τηλ : 2422350209</w:t>
            </w:r>
          </w:p>
          <w:p w14:paraId="24F2F2BF" w14:textId="77777777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  <w:lang w:val="en-US"/>
              </w:rPr>
            </w:pPr>
            <w:r w:rsidRPr="00F925A1">
              <w:rPr>
                <w:b/>
                <w:bCs/>
                <w:lang w:val="en-US"/>
              </w:rPr>
              <w:t>Email: genikos@almiros.gr</w:t>
            </w:r>
          </w:p>
        </w:tc>
        <w:tc>
          <w:tcPr>
            <w:tcW w:w="856" w:type="dxa"/>
            <w:hideMark/>
          </w:tcPr>
          <w:p w14:paraId="175743C3" w14:textId="38605618" w:rsidR="00F925A1" w:rsidRPr="00F925A1" w:rsidRDefault="00F925A1" w:rsidP="00F925A1">
            <w:pPr>
              <w:spacing w:after="0"/>
              <w:ind w:firstLine="720"/>
              <w:jc w:val="both"/>
              <w:rPr>
                <w:b/>
                <w:bCs/>
              </w:rPr>
            </w:pPr>
          </w:p>
        </w:tc>
        <w:tc>
          <w:tcPr>
            <w:tcW w:w="3715" w:type="dxa"/>
          </w:tcPr>
          <w:p w14:paraId="29B0CB46" w14:textId="77777777" w:rsidR="00F925A1" w:rsidRPr="00F925A1" w:rsidRDefault="00F925A1" w:rsidP="00F925A1">
            <w:pPr>
              <w:spacing w:after="0"/>
              <w:jc w:val="both"/>
              <w:rPr>
                <w:b/>
                <w:bCs/>
              </w:rPr>
            </w:pPr>
          </w:p>
        </w:tc>
      </w:tr>
    </w:tbl>
    <w:p w14:paraId="10246276" w14:textId="77777777" w:rsidR="00F925A1" w:rsidRDefault="00F925A1" w:rsidP="000E6D97">
      <w:pPr>
        <w:ind w:firstLine="720"/>
        <w:jc w:val="both"/>
        <w:rPr>
          <w:b/>
          <w:bCs/>
        </w:rPr>
      </w:pPr>
    </w:p>
    <w:p w14:paraId="1F2D270C" w14:textId="625337B8" w:rsidR="00F925A1" w:rsidRDefault="00F925A1" w:rsidP="00F925A1">
      <w:pPr>
        <w:ind w:firstLine="720"/>
        <w:jc w:val="center"/>
        <w:rPr>
          <w:b/>
          <w:bCs/>
        </w:rPr>
      </w:pPr>
      <w:r>
        <w:rPr>
          <w:b/>
          <w:bCs/>
        </w:rPr>
        <w:t>ΕΠΕΙΓΟΥΣΑ ΑΝΑΚΟΙΝΩΣΗ</w:t>
      </w:r>
    </w:p>
    <w:p w14:paraId="24994199" w14:textId="5EE2002A" w:rsidR="006D296C" w:rsidRPr="00F925A1" w:rsidRDefault="000E6D97" w:rsidP="000E6D97">
      <w:pPr>
        <w:ind w:firstLine="720"/>
        <w:jc w:val="both"/>
        <w:rPr>
          <w:b/>
          <w:bCs/>
        </w:rPr>
      </w:pPr>
      <w:r w:rsidRPr="00F925A1">
        <w:rPr>
          <w:b/>
          <w:bCs/>
        </w:rPr>
        <w:t xml:space="preserve">ΘΕΜΑ: Σύσταση Επιτροπής Δήμου για την Εξέταση Αιτημάτων Ένταξης ή μη Οικογενειών ή Μεμονωμένων Ατόμων στο Πρόγραμμα Ενίσχυσης Βιοτικών Αναγκών  και στην χορήγηση επιδόματος απλών επισκευαστικών εργασιών ή/και αντικατάσταση οικοσυσκευής τους. </w:t>
      </w:r>
    </w:p>
    <w:p w14:paraId="27222696" w14:textId="1221BCE5" w:rsidR="00F925A1" w:rsidRDefault="000E6D97" w:rsidP="000E6D97">
      <w:pPr>
        <w:ind w:firstLine="720"/>
        <w:jc w:val="both"/>
      </w:pPr>
      <w:r>
        <w:t>Σας ενημερώνουμε ότι με την υπ’ αριθ.</w:t>
      </w:r>
      <w:r w:rsidR="00E07794">
        <w:t xml:space="preserve"> 158</w:t>
      </w:r>
      <w:r>
        <w:t xml:space="preserve">/2023 Απόφαση Δημάρχου συστάθηκε η αρμόδια επιτροπή του Δήμου </w:t>
      </w:r>
      <w:r w:rsidR="000004EE">
        <w:t xml:space="preserve">Αλμυρού </w:t>
      </w:r>
      <w:r w:rsidRPr="000E6D97">
        <w:t xml:space="preserve">για την Εξέταση Αιτημάτων Ένταξης ή μη Οικογενειών ή Μεμονωμένων Ατόμων στο Πρόγραμμα Ενίσχυσης Βιοτικών Αναγκών και στην χορήγηση επιδόματος απλών επισκευαστικών εργασιών ή/και αντικατάσταση </w:t>
      </w:r>
      <w:r w:rsidR="000004EE" w:rsidRPr="000E6D97">
        <w:t>οικοσκευής</w:t>
      </w:r>
      <w:r w:rsidRPr="000E6D97">
        <w:t xml:space="preserve"> </w:t>
      </w:r>
      <w:r>
        <w:t xml:space="preserve">τους, κατ’ </w:t>
      </w:r>
      <w:r w:rsidR="000004EE">
        <w:t>άρθρο</w:t>
      </w:r>
      <w:r>
        <w:t xml:space="preserve"> 4 της υπ’ αριθ. 33862/2019 (ΦΕΚ 1699 Β/16-05-2019) ΚΥΑ</w:t>
      </w:r>
      <w:r w:rsidRPr="000E6D97">
        <w:t>.</w:t>
      </w:r>
    </w:p>
    <w:p w14:paraId="458B277B" w14:textId="77777777" w:rsidR="00F925A1" w:rsidRDefault="00F925A1" w:rsidP="000E6D97">
      <w:pPr>
        <w:ind w:firstLine="720"/>
        <w:jc w:val="both"/>
      </w:pPr>
      <w:r w:rsidRPr="00F925A1">
        <w:t xml:space="preserve">Η εν λόγω Επιτροπή διενεργεί αυτοψία στις δηλωμένες στην αίτηση δικαιούχων ως </w:t>
      </w:r>
      <w:r w:rsidRPr="00F925A1">
        <w:rPr>
          <w:b/>
          <w:bCs/>
          <w:u w:val="single"/>
        </w:rPr>
        <w:t>πληγείσες κύριες κατοικίες</w:t>
      </w:r>
      <w:r w:rsidRPr="00F925A1">
        <w:t>, προκειμένου:</w:t>
      </w:r>
    </w:p>
    <w:p w14:paraId="6A63F744" w14:textId="77777777" w:rsidR="00F925A1" w:rsidRDefault="00F925A1" w:rsidP="000E6D97">
      <w:pPr>
        <w:ind w:firstLine="720"/>
        <w:jc w:val="both"/>
      </w:pPr>
      <w:r w:rsidRPr="000004EE">
        <w:rPr>
          <w:b/>
          <w:bCs/>
        </w:rPr>
        <w:t>α)</w:t>
      </w:r>
      <w:r w:rsidRPr="00F925A1">
        <w:t xml:space="preserve"> Να ελέγξει ότι η κύρια κατοικία που έχει δηλωθεί είναι πληγείσα, στην περίπτωση του επιδόματος πρώτων βιοτικών αναγκών.</w:t>
      </w:r>
    </w:p>
    <w:p w14:paraId="2FE0199F" w14:textId="1EF30AEE" w:rsidR="00F925A1" w:rsidRDefault="00F925A1" w:rsidP="000E6D97">
      <w:pPr>
        <w:ind w:firstLine="720"/>
        <w:jc w:val="both"/>
      </w:pPr>
      <w:r w:rsidRPr="000004EE">
        <w:rPr>
          <w:b/>
          <w:bCs/>
        </w:rPr>
        <w:t>β)</w:t>
      </w:r>
      <w:r w:rsidRPr="00F925A1">
        <w:t xml:space="preserve"> Να ορίσει το βαθμό ζημίας της κύριας κατοικίας, στην περίπτωση του επιδόματος απλών επισκευαστικών εργασιών ή/και οικοσκευής.</w:t>
      </w:r>
    </w:p>
    <w:p w14:paraId="72ED9706" w14:textId="77777777" w:rsidR="00F925A1" w:rsidRDefault="00F925A1" w:rsidP="00F925A1">
      <w:pPr>
        <w:ind w:firstLine="720"/>
        <w:jc w:val="both"/>
      </w:pPr>
      <w:r w:rsidRPr="00F925A1">
        <w:t xml:space="preserve"> Η Επιτροπή προσδιορίζει το ύψος της του επιδόματος σύμφωνα με όσα ορίζονται </w:t>
      </w:r>
      <w:r>
        <w:t>στην ανωτέρω ΚΥΑ.</w:t>
      </w:r>
    </w:p>
    <w:p w14:paraId="5CB9ADE3" w14:textId="05C1A60F" w:rsidR="000E6D97" w:rsidRDefault="00F925A1" w:rsidP="00F925A1">
      <w:pPr>
        <w:ind w:firstLine="720"/>
        <w:jc w:val="both"/>
      </w:pPr>
      <w:r>
        <w:t xml:space="preserve"> </w:t>
      </w:r>
      <w:r w:rsidRPr="00F925A1">
        <w:t>Η τελική αναγνώριση των δικαιούχων των επιδομάτων της παρούσας γίνεται με απόφαση του Δημάρχου, σύμφωνα με την εισήγηση της ανωτέρω Επιτροπής.</w:t>
      </w:r>
    </w:p>
    <w:p w14:paraId="60F6A9E3" w14:textId="1ED5CD3A" w:rsidR="00F925A1" w:rsidRDefault="00F925A1" w:rsidP="00F925A1">
      <w:pPr>
        <w:ind w:firstLine="720"/>
        <w:jc w:val="both"/>
      </w:pPr>
      <w:r>
        <w:t>Συνημμένα στην παρούσα Ανακοίνωση θα βρείτε:</w:t>
      </w:r>
    </w:p>
    <w:p w14:paraId="0A447BA1" w14:textId="6C58D933" w:rsidR="00F925A1" w:rsidRDefault="00F925A1" w:rsidP="00F925A1">
      <w:pPr>
        <w:pStyle w:val="a3"/>
        <w:numPr>
          <w:ilvl w:val="0"/>
          <w:numId w:val="1"/>
        </w:numPr>
        <w:jc w:val="both"/>
      </w:pPr>
      <w:r>
        <w:t xml:space="preserve">Την υπ’ αριθ. </w:t>
      </w:r>
      <w:r w:rsidRPr="00F925A1">
        <w:t xml:space="preserve"> 33862/2019 (ΦΕΚ 1699 Β/16-05-2019) ΚΥΑ</w:t>
      </w:r>
      <w:r>
        <w:t xml:space="preserve"> «Διαδικασία Χορήγησης Οικονομικής Ενίσχυσης πολιτών που πλήττονται από Φυσικές Καταστροφές»</w:t>
      </w:r>
    </w:p>
    <w:p w14:paraId="20521165" w14:textId="18E7A8D4" w:rsidR="00F925A1" w:rsidRDefault="00F925A1" w:rsidP="00F925A1">
      <w:pPr>
        <w:pStyle w:val="a3"/>
        <w:numPr>
          <w:ilvl w:val="0"/>
          <w:numId w:val="1"/>
        </w:numPr>
        <w:jc w:val="both"/>
      </w:pPr>
      <w:r>
        <w:t>Αίτηση Χορήγησης Οικονομικής Ενίσχυσης</w:t>
      </w:r>
    </w:p>
    <w:p w14:paraId="665F1954" w14:textId="0E1AC495" w:rsidR="00F925A1" w:rsidRDefault="00F925A1" w:rsidP="00F925A1">
      <w:pPr>
        <w:pStyle w:val="a3"/>
        <w:numPr>
          <w:ilvl w:val="0"/>
          <w:numId w:val="1"/>
        </w:numPr>
        <w:jc w:val="both"/>
      </w:pPr>
      <w:r>
        <w:t>Υπεύθυνη Δήλωση</w:t>
      </w:r>
    </w:p>
    <w:p w14:paraId="3D7405E7" w14:textId="2D8D83B5" w:rsidR="00F925A1" w:rsidRDefault="00F925A1" w:rsidP="00F925A1">
      <w:pPr>
        <w:pStyle w:val="a3"/>
        <w:numPr>
          <w:ilvl w:val="0"/>
          <w:numId w:val="1"/>
        </w:numPr>
        <w:jc w:val="both"/>
      </w:pPr>
      <w:r>
        <w:t>Υπεύθυνη Δήλωση (2).</w:t>
      </w:r>
    </w:p>
    <w:p w14:paraId="60D6DB62" w14:textId="77777777" w:rsidR="00F925A1" w:rsidRDefault="00F925A1" w:rsidP="00F925A1">
      <w:pPr>
        <w:pStyle w:val="a3"/>
        <w:ind w:left="1080"/>
        <w:jc w:val="both"/>
      </w:pPr>
    </w:p>
    <w:p w14:paraId="251C121B" w14:textId="77777777" w:rsidR="00F925A1" w:rsidRDefault="00F925A1" w:rsidP="00F925A1">
      <w:pPr>
        <w:pStyle w:val="a3"/>
        <w:ind w:left="1080"/>
        <w:jc w:val="both"/>
      </w:pPr>
    </w:p>
    <w:p w14:paraId="380359DF" w14:textId="2DB1663D" w:rsidR="00F925A1" w:rsidRPr="00F925A1" w:rsidRDefault="00F925A1" w:rsidP="00F925A1">
      <w:pPr>
        <w:pStyle w:val="a3"/>
        <w:ind w:left="1080"/>
        <w:jc w:val="both"/>
      </w:pPr>
      <w:r>
        <w:t>Κατόπιν των ανωτέρω, παρακαλούνται οι πολίτες των οποίων οι κύριες κατοικίες έχουν υποστεί ζημιές εξαιτίας πυρκαγιών της 26</w:t>
      </w:r>
      <w:r w:rsidRPr="00F925A1">
        <w:rPr>
          <w:vertAlign w:val="superscript"/>
        </w:rPr>
        <w:t>η</w:t>
      </w:r>
      <w:r>
        <w:t>ς Ιουλίου 2023 να υποβάλλουν τα αιτήματα τους στο Δήμο Αλμυρού είτε δια ζώση</w:t>
      </w:r>
      <w:r w:rsidR="000004EE">
        <w:t>ς στο Πρωτόκολλο του Δήμου Αλμυρού, στο ισόγειο του Δημαρχείου, στην υπάλληλο Ευφροσύνη Γιαννούλη με αναπληρώτρια την Αθανασία Βαλκανιώτη,</w:t>
      </w:r>
      <w:r>
        <w:t xml:space="preserve"> είτε ηλεκτρονικά στο </w:t>
      </w:r>
      <w:r>
        <w:rPr>
          <w:lang w:val="en-US"/>
        </w:rPr>
        <w:t>email</w:t>
      </w:r>
      <w:r w:rsidRPr="00F925A1">
        <w:t xml:space="preserve">: </w:t>
      </w:r>
      <w:hyperlink r:id="rId6" w:history="1">
        <w:r w:rsidRPr="00ED41B6">
          <w:rPr>
            <w:rStyle w:val="-"/>
            <w:lang w:val="en-US"/>
          </w:rPr>
          <w:t>ef</w:t>
        </w:r>
        <w:r w:rsidRPr="00ED41B6">
          <w:rPr>
            <w:rStyle w:val="-"/>
          </w:rPr>
          <w:t>.</w:t>
        </w:r>
        <w:r w:rsidRPr="00ED41B6">
          <w:rPr>
            <w:rStyle w:val="-"/>
            <w:lang w:val="en-US"/>
          </w:rPr>
          <w:t>giannouli</w:t>
        </w:r>
        <w:r w:rsidRPr="00ED41B6">
          <w:rPr>
            <w:rStyle w:val="-"/>
          </w:rPr>
          <w:t>@</w:t>
        </w:r>
        <w:r w:rsidRPr="00ED41B6">
          <w:rPr>
            <w:rStyle w:val="-"/>
            <w:lang w:val="en-US"/>
          </w:rPr>
          <w:t>almiros</w:t>
        </w:r>
        <w:r w:rsidRPr="00ED41B6">
          <w:rPr>
            <w:rStyle w:val="-"/>
          </w:rPr>
          <w:t>.</w:t>
        </w:r>
        <w:r w:rsidRPr="00ED41B6">
          <w:rPr>
            <w:rStyle w:val="-"/>
            <w:lang w:val="en-US"/>
          </w:rPr>
          <w:t>gr</w:t>
        </w:r>
      </w:hyperlink>
    </w:p>
    <w:p w14:paraId="6DC1E925" w14:textId="3CA51D52" w:rsidR="00F925A1" w:rsidRDefault="00F925A1" w:rsidP="00F925A1">
      <w:pPr>
        <w:pStyle w:val="a3"/>
        <w:ind w:left="1080"/>
        <w:jc w:val="both"/>
      </w:pPr>
      <w:r>
        <w:tab/>
        <w:t xml:space="preserve">Σας ενημερώνουμε ότι είμαστε στη διάθεση όλων των δημοτών για περαιτέρω διευκρινίσεις και ενημερώσεις. </w:t>
      </w:r>
    </w:p>
    <w:p w14:paraId="54DBD5CA" w14:textId="77777777" w:rsidR="00F925A1" w:rsidRDefault="00F925A1" w:rsidP="00F925A1">
      <w:pPr>
        <w:pStyle w:val="a3"/>
        <w:ind w:left="1080"/>
        <w:jc w:val="both"/>
      </w:pPr>
    </w:p>
    <w:p w14:paraId="51ECD69C" w14:textId="77777777" w:rsidR="00F925A1" w:rsidRDefault="00F925A1" w:rsidP="00F925A1">
      <w:pPr>
        <w:pStyle w:val="a3"/>
        <w:ind w:left="1080"/>
        <w:jc w:val="both"/>
      </w:pPr>
    </w:p>
    <w:p w14:paraId="3A14E6C8" w14:textId="33308842" w:rsidR="00F925A1" w:rsidRPr="00F925A1" w:rsidRDefault="00F925A1" w:rsidP="00F925A1">
      <w:pPr>
        <w:pStyle w:val="a3"/>
        <w:ind w:left="1080"/>
        <w:jc w:val="right"/>
        <w:rPr>
          <w:b/>
          <w:bCs/>
        </w:rPr>
      </w:pPr>
      <w:r w:rsidRPr="00F925A1">
        <w:rPr>
          <w:b/>
          <w:bCs/>
        </w:rPr>
        <w:t>Ο Δήμαρχος Αλμυρού</w:t>
      </w:r>
    </w:p>
    <w:p w14:paraId="4D81714F" w14:textId="308AAAA3" w:rsidR="00F925A1" w:rsidRPr="00F925A1" w:rsidRDefault="00F925A1" w:rsidP="00F925A1">
      <w:pPr>
        <w:pStyle w:val="a3"/>
        <w:ind w:left="1080"/>
        <w:jc w:val="right"/>
        <w:rPr>
          <w:b/>
          <w:bCs/>
        </w:rPr>
      </w:pPr>
      <w:r w:rsidRPr="00F925A1">
        <w:rPr>
          <w:b/>
          <w:bCs/>
        </w:rPr>
        <w:t>ΕΥΑΓΓΕΛΟΣ ΧΑΤΖΗΚΥΡΙΑΚΟΣ</w:t>
      </w:r>
    </w:p>
    <w:sectPr w:rsidR="00F925A1" w:rsidRPr="00F925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707F"/>
    <w:multiLevelType w:val="hybridMultilevel"/>
    <w:tmpl w:val="D3DC48C2"/>
    <w:lvl w:ilvl="0" w:tplc="CC9AB5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367C6D"/>
    <w:multiLevelType w:val="hybridMultilevel"/>
    <w:tmpl w:val="A978D0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090183">
    <w:abstractNumId w:val="0"/>
  </w:num>
  <w:num w:numId="2" w16cid:durableId="1997218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9E"/>
    <w:rsid w:val="000004EE"/>
    <w:rsid w:val="000E6D97"/>
    <w:rsid w:val="005B6B90"/>
    <w:rsid w:val="005C6B3A"/>
    <w:rsid w:val="006D296C"/>
    <w:rsid w:val="0075229E"/>
    <w:rsid w:val="00E07794"/>
    <w:rsid w:val="00F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71C2"/>
  <w15:chartTrackingRefBased/>
  <w15:docId w15:val="{BCDD44ED-E345-499D-A2F2-10911D24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A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925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2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.giannouli@almiro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2023-07-27T04:48:00Z</dcterms:created>
  <dcterms:modified xsi:type="dcterms:W3CDTF">2023-07-27T05:24:00Z</dcterms:modified>
</cp:coreProperties>
</file>